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3E155">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D08BE08">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7C38E586">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A11778C">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宋体" w:hAnsi="宋体" w:cs="宋体"/>
          <w:b w:val="0"/>
          <w:bCs w:val="0"/>
          <w:kern w:val="1"/>
          <w:sz w:val="32"/>
          <w:szCs w:val="32"/>
          <w:highlight w:val="none"/>
          <w:lang w:val="en-US" w:eastAsia="zh-CN"/>
        </w:rPr>
        <w:t>磁性开关\CS1-U-二线制/IP65-DC/AC5-240</w:t>
      </w: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25A085C2">
      <w:pPr>
        <w:snapToGrid w:val="0"/>
        <w:spacing w:line="360" w:lineRule="auto"/>
        <w:ind w:right="-447"/>
        <w:jc w:val="center"/>
        <w:rPr>
          <w:rFonts w:hint="eastAsia" w:ascii="仿宋" w:hAnsi="仿宋" w:eastAsia="仿宋" w:cs="仿宋"/>
          <w:b/>
          <w:color w:val="auto"/>
          <w:sz w:val="36"/>
          <w:szCs w:val="48"/>
          <w:highlight w:val="none"/>
        </w:rPr>
      </w:pPr>
    </w:p>
    <w:p w14:paraId="1EF67631">
      <w:pPr>
        <w:snapToGrid w:val="0"/>
        <w:spacing w:line="360" w:lineRule="auto"/>
        <w:ind w:right="-447"/>
        <w:jc w:val="center"/>
        <w:rPr>
          <w:rFonts w:hint="eastAsia" w:ascii="仿宋" w:hAnsi="仿宋" w:eastAsia="仿宋" w:cs="仿宋"/>
          <w:b/>
          <w:color w:val="auto"/>
          <w:sz w:val="36"/>
          <w:szCs w:val="48"/>
          <w:highlight w:val="none"/>
        </w:rPr>
      </w:pPr>
    </w:p>
    <w:p w14:paraId="2A49EE16">
      <w:pPr>
        <w:pStyle w:val="2"/>
        <w:rPr>
          <w:rFonts w:hint="eastAsia" w:ascii="仿宋" w:hAnsi="仿宋" w:eastAsia="仿宋" w:cs="仿宋"/>
          <w:color w:val="auto"/>
          <w:highlight w:val="none"/>
        </w:rPr>
      </w:pPr>
    </w:p>
    <w:p w14:paraId="22DB7802">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0E64427A">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3ACFE9D4">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198E9E98">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0F892E3D">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0409208C">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2151D0E0">
      <w:pPr>
        <w:spacing w:line="360" w:lineRule="auto"/>
        <w:rPr>
          <w:rFonts w:hint="eastAsia" w:ascii="仿宋" w:hAnsi="仿宋" w:eastAsia="仿宋" w:cs="仿宋"/>
          <w:bCs/>
          <w:color w:val="auto"/>
          <w:highlight w:val="none"/>
        </w:rPr>
      </w:pPr>
    </w:p>
    <w:p w14:paraId="58D2B24F">
      <w:pPr>
        <w:spacing w:line="360" w:lineRule="auto"/>
        <w:rPr>
          <w:rFonts w:hint="eastAsia" w:ascii="仿宋" w:hAnsi="仿宋" w:eastAsia="仿宋" w:cs="仿宋"/>
          <w:bCs/>
          <w:color w:val="auto"/>
          <w:highlight w:val="none"/>
        </w:rPr>
      </w:pPr>
    </w:p>
    <w:p w14:paraId="48C874F2">
      <w:pPr>
        <w:spacing w:line="360" w:lineRule="auto"/>
        <w:rPr>
          <w:rFonts w:hint="eastAsia" w:ascii="仿宋" w:hAnsi="仿宋" w:eastAsia="仿宋" w:cs="仿宋"/>
          <w:bCs/>
          <w:color w:val="auto"/>
          <w:highlight w:val="none"/>
        </w:rPr>
      </w:pPr>
    </w:p>
    <w:p w14:paraId="463400E3">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24BCB767">
      <w:pPr>
        <w:spacing w:line="360" w:lineRule="auto"/>
        <w:ind w:firstLine="3791" w:firstLineChars="1049"/>
        <w:rPr>
          <w:rFonts w:hint="eastAsia" w:ascii="仿宋" w:hAnsi="仿宋" w:eastAsia="仿宋" w:cs="仿宋"/>
          <w:b/>
          <w:color w:val="auto"/>
          <w:sz w:val="36"/>
          <w:szCs w:val="36"/>
          <w:highlight w:val="none"/>
        </w:rPr>
      </w:pPr>
    </w:p>
    <w:p w14:paraId="5706C94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002D282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5AE58DF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749C129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2E716AD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2CC1586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18E4F34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79CE32B4">
      <w:pPr>
        <w:snapToGrid w:val="0"/>
        <w:spacing w:line="360" w:lineRule="auto"/>
        <w:ind w:right="-447"/>
        <w:jc w:val="both"/>
        <w:rPr>
          <w:rFonts w:hint="eastAsia" w:ascii="仿宋" w:hAnsi="仿宋" w:eastAsia="仿宋" w:cs="仿宋"/>
          <w:b/>
          <w:color w:val="auto"/>
          <w:sz w:val="28"/>
          <w:szCs w:val="28"/>
          <w:highlight w:val="none"/>
        </w:rPr>
      </w:pPr>
    </w:p>
    <w:p w14:paraId="7B341B80">
      <w:pPr>
        <w:snapToGrid w:val="0"/>
        <w:spacing w:line="360" w:lineRule="auto"/>
        <w:ind w:right="-447"/>
        <w:jc w:val="both"/>
        <w:rPr>
          <w:rFonts w:hint="eastAsia" w:ascii="仿宋" w:hAnsi="仿宋" w:eastAsia="仿宋" w:cs="仿宋"/>
          <w:b/>
          <w:color w:val="auto"/>
          <w:sz w:val="28"/>
          <w:szCs w:val="28"/>
          <w:highlight w:val="none"/>
        </w:rPr>
      </w:pPr>
    </w:p>
    <w:p w14:paraId="762D94D4">
      <w:pPr>
        <w:snapToGrid w:val="0"/>
        <w:spacing w:line="360" w:lineRule="auto"/>
        <w:ind w:right="-447"/>
        <w:jc w:val="both"/>
        <w:rPr>
          <w:rFonts w:hint="eastAsia" w:ascii="仿宋" w:hAnsi="仿宋" w:eastAsia="仿宋" w:cs="仿宋"/>
          <w:b/>
          <w:color w:val="auto"/>
          <w:sz w:val="28"/>
          <w:szCs w:val="28"/>
          <w:highlight w:val="none"/>
        </w:rPr>
      </w:pPr>
    </w:p>
    <w:p w14:paraId="0EB41F5E">
      <w:pPr>
        <w:snapToGrid w:val="0"/>
        <w:spacing w:line="360" w:lineRule="auto"/>
        <w:ind w:right="-447"/>
        <w:jc w:val="both"/>
        <w:rPr>
          <w:rFonts w:hint="eastAsia" w:ascii="仿宋" w:hAnsi="仿宋" w:eastAsia="仿宋" w:cs="仿宋"/>
          <w:b/>
          <w:color w:val="auto"/>
          <w:sz w:val="28"/>
          <w:szCs w:val="28"/>
          <w:highlight w:val="none"/>
        </w:rPr>
      </w:pPr>
    </w:p>
    <w:p w14:paraId="1746A75D">
      <w:pPr>
        <w:snapToGrid w:val="0"/>
        <w:spacing w:line="360" w:lineRule="auto"/>
        <w:ind w:right="-447"/>
        <w:jc w:val="both"/>
        <w:rPr>
          <w:rFonts w:hint="eastAsia" w:ascii="仿宋" w:hAnsi="仿宋" w:eastAsia="仿宋" w:cs="仿宋"/>
          <w:b/>
          <w:color w:val="auto"/>
          <w:sz w:val="28"/>
          <w:szCs w:val="28"/>
          <w:highlight w:val="none"/>
        </w:rPr>
      </w:pPr>
    </w:p>
    <w:p w14:paraId="15085C24">
      <w:pPr>
        <w:snapToGrid w:val="0"/>
        <w:spacing w:line="360" w:lineRule="auto"/>
        <w:ind w:right="-447"/>
        <w:jc w:val="both"/>
        <w:rPr>
          <w:rFonts w:hint="eastAsia" w:ascii="仿宋" w:hAnsi="仿宋" w:eastAsia="仿宋" w:cs="仿宋"/>
          <w:b/>
          <w:color w:val="auto"/>
          <w:sz w:val="28"/>
          <w:szCs w:val="28"/>
          <w:highlight w:val="none"/>
        </w:rPr>
      </w:pPr>
    </w:p>
    <w:p w14:paraId="32B1704C">
      <w:pPr>
        <w:snapToGrid w:val="0"/>
        <w:spacing w:line="360" w:lineRule="auto"/>
        <w:ind w:right="-447"/>
        <w:jc w:val="both"/>
        <w:rPr>
          <w:rFonts w:hint="eastAsia" w:ascii="仿宋" w:hAnsi="仿宋" w:eastAsia="仿宋" w:cs="仿宋"/>
          <w:b/>
          <w:color w:val="auto"/>
          <w:sz w:val="28"/>
          <w:szCs w:val="28"/>
          <w:highlight w:val="none"/>
        </w:rPr>
      </w:pPr>
    </w:p>
    <w:p w14:paraId="7F6416ED">
      <w:pPr>
        <w:snapToGrid w:val="0"/>
        <w:spacing w:line="360" w:lineRule="auto"/>
        <w:ind w:right="-447"/>
        <w:jc w:val="both"/>
        <w:rPr>
          <w:rFonts w:hint="eastAsia" w:ascii="仿宋" w:hAnsi="仿宋" w:eastAsia="仿宋" w:cs="仿宋"/>
          <w:b/>
          <w:color w:val="auto"/>
          <w:sz w:val="28"/>
          <w:szCs w:val="28"/>
          <w:highlight w:val="none"/>
        </w:rPr>
      </w:pPr>
    </w:p>
    <w:p w14:paraId="00094EB5">
      <w:pPr>
        <w:snapToGrid w:val="0"/>
        <w:spacing w:line="360" w:lineRule="auto"/>
        <w:ind w:right="-447"/>
        <w:jc w:val="both"/>
        <w:rPr>
          <w:rFonts w:hint="eastAsia" w:ascii="仿宋" w:hAnsi="仿宋" w:eastAsia="仿宋" w:cs="仿宋"/>
          <w:b/>
          <w:color w:val="auto"/>
          <w:sz w:val="28"/>
          <w:szCs w:val="28"/>
          <w:highlight w:val="none"/>
        </w:rPr>
      </w:pPr>
    </w:p>
    <w:p w14:paraId="0900BB07">
      <w:pPr>
        <w:snapToGrid w:val="0"/>
        <w:spacing w:line="360" w:lineRule="auto"/>
        <w:ind w:right="-447"/>
        <w:jc w:val="both"/>
        <w:rPr>
          <w:rFonts w:hint="eastAsia" w:ascii="仿宋" w:hAnsi="仿宋" w:eastAsia="仿宋" w:cs="仿宋"/>
          <w:b/>
          <w:color w:val="auto"/>
          <w:sz w:val="28"/>
          <w:szCs w:val="28"/>
          <w:highlight w:val="none"/>
        </w:rPr>
      </w:pPr>
    </w:p>
    <w:p w14:paraId="55267744">
      <w:pPr>
        <w:snapToGrid w:val="0"/>
        <w:spacing w:line="360" w:lineRule="auto"/>
        <w:ind w:right="-447"/>
        <w:jc w:val="both"/>
        <w:rPr>
          <w:rFonts w:hint="eastAsia" w:ascii="仿宋" w:hAnsi="仿宋" w:eastAsia="仿宋" w:cs="仿宋"/>
          <w:b/>
          <w:color w:val="auto"/>
          <w:sz w:val="28"/>
          <w:szCs w:val="28"/>
          <w:highlight w:val="none"/>
        </w:rPr>
      </w:pPr>
    </w:p>
    <w:p w14:paraId="32557E3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66FA9592">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磁性开关\CS1-U-二线制/IP65-DC/AC5-240</w:t>
      </w:r>
      <w:r>
        <w:rPr>
          <w:rFonts w:hint="eastAsia" w:ascii="仿宋" w:hAnsi="仿宋" w:eastAsia="仿宋" w:cs="仿宋"/>
          <w:color w:val="auto"/>
          <w:sz w:val="21"/>
          <w:szCs w:val="21"/>
          <w:highlight w:val="none"/>
        </w:rPr>
        <w:t>采购经双方协商，达成如下技术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w:t>
      </w:r>
    </w:p>
    <w:p w14:paraId="019167AB">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1EC23BD6">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作为甲方设备订货合同的附件，与订货合同同时生效，具有同等法律效力。合同执行期间双方再协商形成的补充</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和追加条款也具有同等法律效力。</w:t>
      </w:r>
    </w:p>
    <w:p w14:paraId="78DC93A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5F0B505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05C04E9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44846B36">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3FC3BAC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5EE5BA0D">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DFD3EEA">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1.7乙方在投标前，按照本技术规格书所规定的技术参数与甲方技术人员充分技术交流，并签订标签技术规格书后，方可具备投标资质参标。</w:t>
      </w:r>
    </w:p>
    <w:p w14:paraId="28A7332F">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3E31921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02610694">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磁性开关\CS1-U-二线制/IP65-DC/AC5-240</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14713FBE">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15D4E574">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val="en-US" w:eastAsia="zh-CN"/>
        </w:rPr>
        <w:t>磁性开关</w:t>
      </w:r>
      <w:r>
        <w:rPr>
          <w:rFonts w:hint="eastAsia" w:ascii="仿宋" w:hAnsi="仿宋" w:eastAsia="仿宋" w:cs="仿宋"/>
          <w:color w:val="auto"/>
          <w:sz w:val="21"/>
          <w:szCs w:val="21"/>
          <w:highlight w:val="none"/>
          <w:lang w:eastAsia="zh-CN"/>
        </w:rPr>
        <w:t>相关</w:t>
      </w:r>
      <w:r>
        <w:rPr>
          <w:rFonts w:hint="eastAsia" w:ascii="仿宋" w:hAnsi="仿宋" w:eastAsia="仿宋" w:cs="仿宋"/>
          <w:color w:val="auto"/>
          <w:sz w:val="21"/>
          <w:szCs w:val="21"/>
          <w:highlight w:val="none"/>
        </w:rPr>
        <w:t>标准。</w:t>
      </w:r>
    </w:p>
    <w:p w14:paraId="62574687">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F0B212">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5DC039BA">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磁性开关\CS1-U-二线制/IP65-DC/AC5-240 </w:t>
      </w:r>
      <w:r>
        <w:rPr>
          <w:rFonts w:hint="eastAsia" w:ascii="仿宋" w:hAnsi="仿宋" w:eastAsia="仿宋" w:cs="仿宋"/>
          <w:color w:val="auto"/>
          <w:sz w:val="21"/>
          <w:szCs w:val="21"/>
          <w:highlight w:val="none"/>
          <w:lang w:val="en-US" w:eastAsia="zh-CN"/>
        </w:rPr>
        <w:t xml:space="preserve">               </w:t>
      </w:r>
    </w:p>
    <w:p w14:paraId="6E29AE8B">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 xml:space="preserve">AC220V </w:t>
      </w:r>
    </w:p>
    <w:p w14:paraId="5532DCE1">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val="en-US" w:eastAsia="zh-CN"/>
        </w:rPr>
        <w:drawing>
          <wp:inline distT="0" distB="0" distL="114300" distR="114300">
            <wp:extent cx="3016885" cy="2180590"/>
            <wp:effectExtent l="0" t="0" r="12065" b="10160"/>
            <wp:docPr id="1" name="图片 1" descr="磁性开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磁性开关"/>
                    <pic:cNvPicPr>
                      <a:picLocks noChangeAspect="1"/>
                    </pic:cNvPicPr>
                  </pic:nvPicPr>
                  <pic:blipFill>
                    <a:blip r:embed="rId7"/>
                    <a:stretch>
                      <a:fillRect/>
                    </a:stretch>
                  </pic:blipFill>
                  <pic:spPr>
                    <a:xfrm>
                      <a:off x="0" y="0"/>
                      <a:ext cx="3016885" cy="2180590"/>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14:paraId="7B281133">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6CAA519F">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62F9CFC0">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48414263">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06FE93A3">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5DA4B9B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673B4260">
      <w:pPr>
        <w:spacing w:line="360" w:lineRule="auto"/>
        <w:rPr>
          <w:rFonts w:hint="default" w:ascii="仿宋" w:hAnsi="仿宋" w:eastAsia="仿宋" w:cs="仿宋"/>
          <w:color w:val="auto"/>
          <w:sz w:val="21"/>
          <w:szCs w:val="21"/>
          <w:highlight w:val="none"/>
          <w:lang w:val="en-US" w:eastAsia="zh-CN"/>
        </w:rPr>
      </w:pPr>
    </w:p>
    <w:p w14:paraId="44018CF1">
      <w:pPr>
        <w:spacing w:line="360" w:lineRule="auto"/>
        <w:ind w:firstLine="478" w:firstLineChars="228"/>
        <w:jc w:val="center"/>
        <w:rPr>
          <w:rFonts w:hint="eastAsia" w:ascii="仿宋" w:hAnsi="仿宋" w:eastAsia="仿宋" w:cs="仿宋"/>
          <w:color w:val="auto"/>
          <w:sz w:val="21"/>
          <w:szCs w:val="21"/>
          <w:highlight w:val="none"/>
          <w:lang w:eastAsia="zh-CN"/>
        </w:rPr>
      </w:pPr>
    </w:p>
    <w:p w14:paraId="48DC215D">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6B6BFAB9">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F08DB18">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14:paraId="019B1D88">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14:paraId="3E84D45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0C4B334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4BCDCB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53C4A72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1AB7DF12">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14:paraId="1277070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52F06040">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14:paraId="1A7E8D99">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407F01D1">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69CCD4F6">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26C0C109">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1E6C90A9">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47F7E382">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14:paraId="25C3A2F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25E67D09">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14:paraId="139727F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1C24E286">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color w:val="auto"/>
                <w:kern w:val="1"/>
                <w:sz w:val="20"/>
                <w:szCs w:val="20"/>
                <w:highlight w:val="none"/>
              </w:rPr>
              <w:t>70290328</w:t>
            </w:r>
          </w:p>
        </w:tc>
        <w:tc>
          <w:tcPr>
            <w:tcW w:w="1594" w:type="pct"/>
            <w:tcBorders>
              <w:top w:val="nil"/>
              <w:left w:val="nil"/>
              <w:bottom w:val="single" w:color="auto" w:sz="4" w:space="0"/>
              <w:right w:val="single" w:color="auto" w:sz="4" w:space="0"/>
            </w:tcBorders>
            <w:noWrap w:val="0"/>
            <w:vAlign w:val="center"/>
          </w:tcPr>
          <w:p w14:paraId="5786C869">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磁性开关\CS1-U-二线制/IP65-DC/AC5-240</w:t>
            </w:r>
          </w:p>
        </w:tc>
        <w:tc>
          <w:tcPr>
            <w:tcW w:w="564" w:type="pct"/>
            <w:tcBorders>
              <w:top w:val="nil"/>
              <w:left w:val="nil"/>
              <w:bottom w:val="single" w:color="auto" w:sz="4" w:space="0"/>
              <w:right w:val="single" w:color="auto" w:sz="4" w:space="0"/>
            </w:tcBorders>
            <w:noWrap w:val="0"/>
            <w:vAlign w:val="center"/>
          </w:tcPr>
          <w:p w14:paraId="1432BDF2">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100</w:t>
            </w:r>
          </w:p>
        </w:tc>
        <w:tc>
          <w:tcPr>
            <w:tcW w:w="804" w:type="pct"/>
            <w:tcBorders>
              <w:top w:val="nil"/>
              <w:left w:val="nil"/>
              <w:bottom w:val="single" w:color="auto" w:sz="4" w:space="0"/>
              <w:right w:val="single" w:color="auto" w:sz="4" w:space="0"/>
            </w:tcBorders>
            <w:noWrap w:val="0"/>
            <w:vAlign w:val="center"/>
          </w:tcPr>
          <w:p w14:paraId="4D024A63">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4DE9283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14:paraId="00167A61">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118FFA9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14:paraId="0C226A2C">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184721CA">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3A49DB98">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16440C3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64BE4F8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BD3BF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2FBCB4D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5D38BAB2">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C6E110E">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3A1CA52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732EA265">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2E91A75">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33356661">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5CBEFB08">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35C1855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3BBFBB1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对安装、调试后，质保期内，设备精度达不到规格书要求，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159C0F0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7C5259A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743B883C">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以合同签订交货时间为准</w:t>
      </w:r>
      <w:bookmarkStart w:id="1" w:name="_GoBack"/>
      <w:bookmarkEnd w:id="1"/>
    </w:p>
    <w:p w14:paraId="232CCD00">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66F98FAF">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2A1776F8">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7.1本规格书内容经由甲乙双方于    年   月   日   时-  时通过   方式商定。 </w:t>
      </w:r>
    </w:p>
    <w:p w14:paraId="5CF3C2A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7.2甲乙双方应当就签订本规格书的相关事宜保密，不得将签订主体、时间、内容等信息透露给其他第三人。</w:t>
      </w:r>
    </w:p>
    <w:p w14:paraId="39EC56CD">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7.3若乙方公司不能中标，则本技术规格书自动失效，双方不承担任何责任。</w:t>
      </w:r>
    </w:p>
    <w:p w14:paraId="52D85C5E">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w:t>
      </w:r>
      <w:r>
        <w:rPr>
          <w:rFonts w:hint="eastAsia" w:ascii="仿宋" w:hAnsi="仿宋" w:eastAsia="仿宋" w:cs="仿宋"/>
          <w:color w:val="auto"/>
          <w:sz w:val="21"/>
          <w:highlight w:val="none"/>
          <w:lang w:eastAsia="zh-CN"/>
        </w:rPr>
        <w:t>规格书</w:t>
      </w:r>
      <w:r>
        <w:rPr>
          <w:rFonts w:hint="eastAsia" w:ascii="仿宋" w:hAnsi="仿宋" w:eastAsia="仿宋" w:cs="仿宋"/>
          <w:color w:val="auto"/>
          <w:sz w:val="21"/>
          <w:highlight w:val="none"/>
        </w:rPr>
        <w:t>一式四份，甲方三份，乙方一份。</w:t>
      </w:r>
    </w:p>
    <w:p w14:paraId="3D47394C">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33F52144">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06371FA5">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AB107D6">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08494E7D">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18CDCD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1F08347">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0CAA2032">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7674C">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NGIxNmFmYzZlNmFiNDYxMzdmMWQxNGEzZWMxYjk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68D0791"/>
    <w:rsid w:val="08416F2D"/>
    <w:rsid w:val="0A502357"/>
    <w:rsid w:val="0AF75787"/>
    <w:rsid w:val="0C693DF6"/>
    <w:rsid w:val="0F6949B9"/>
    <w:rsid w:val="0FA7334B"/>
    <w:rsid w:val="11AC1D80"/>
    <w:rsid w:val="11D76808"/>
    <w:rsid w:val="14A213F8"/>
    <w:rsid w:val="15B8653A"/>
    <w:rsid w:val="15C0276A"/>
    <w:rsid w:val="1763479D"/>
    <w:rsid w:val="17B55FF2"/>
    <w:rsid w:val="18A90670"/>
    <w:rsid w:val="190D30A5"/>
    <w:rsid w:val="1A9210DE"/>
    <w:rsid w:val="1C3A718F"/>
    <w:rsid w:val="1D0E6271"/>
    <w:rsid w:val="1E995A6B"/>
    <w:rsid w:val="205F020B"/>
    <w:rsid w:val="262C11AD"/>
    <w:rsid w:val="264D6D44"/>
    <w:rsid w:val="274A49E9"/>
    <w:rsid w:val="29796396"/>
    <w:rsid w:val="2CE76254"/>
    <w:rsid w:val="2D34414E"/>
    <w:rsid w:val="2F5A6DBC"/>
    <w:rsid w:val="30DD6F16"/>
    <w:rsid w:val="316F691B"/>
    <w:rsid w:val="324A771F"/>
    <w:rsid w:val="348575AD"/>
    <w:rsid w:val="34F76C36"/>
    <w:rsid w:val="379D74FF"/>
    <w:rsid w:val="37D130D6"/>
    <w:rsid w:val="382611A3"/>
    <w:rsid w:val="38822413"/>
    <w:rsid w:val="39481A9A"/>
    <w:rsid w:val="3B9823B7"/>
    <w:rsid w:val="3BAC5A4D"/>
    <w:rsid w:val="3E3770BC"/>
    <w:rsid w:val="3EAF1EBE"/>
    <w:rsid w:val="400A0C2B"/>
    <w:rsid w:val="404B0715"/>
    <w:rsid w:val="42650422"/>
    <w:rsid w:val="427B5D0A"/>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68E09F4"/>
    <w:rsid w:val="577F2AA1"/>
    <w:rsid w:val="57F435E4"/>
    <w:rsid w:val="581035A9"/>
    <w:rsid w:val="58374651"/>
    <w:rsid w:val="595125A3"/>
    <w:rsid w:val="5A5B7F3B"/>
    <w:rsid w:val="5C3A6E47"/>
    <w:rsid w:val="5EB033F0"/>
    <w:rsid w:val="608B2DCE"/>
    <w:rsid w:val="61D858B1"/>
    <w:rsid w:val="625E7ACB"/>
    <w:rsid w:val="63B82D47"/>
    <w:rsid w:val="67A63303"/>
    <w:rsid w:val="68343DB1"/>
    <w:rsid w:val="68884588"/>
    <w:rsid w:val="6AB0617B"/>
    <w:rsid w:val="713F7586"/>
    <w:rsid w:val="72D75DC2"/>
    <w:rsid w:val="74753B7F"/>
    <w:rsid w:val="74FB6702"/>
    <w:rsid w:val="75035C01"/>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1545</Words>
  <Characters>1797</Characters>
  <Lines>16</Lines>
  <Paragraphs>4</Paragraphs>
  <TotalTime>1</TotalTime>
  <ScaleCrop>false</ScaleCrop>
  <LinksUpToDate>false</LinksUpToDate>
  <CharactersWithSpaces>1981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林滨</cp:lastModifiedBy>
  <cp:lastPrinted>2010-06-13T03:59:00Z</cp:lastPrinted>
  <dcterms:modified xsi:type="dcterms:W3CDTF">2026-03-03T11:07:56Z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1DA372D18A904732A75D46C19E0AD107_13</vt:lpwstr>
  </property>
  <property fmtid="{D5CDD505-2E9C-101B-9397-08002B2CF9AE}" pid="4" name="KSOTemplateDocerSaveRecord">
    <vt:lpwstr>eyJoZGlkIjoiMDcwOGUzMDdiZWZlMGQ0YWM3YjVmOWU2YjQyNjI0NTMiLCJ1c2VySWQiOiIxNjQ5NTAwMzQyIn0=</vt:lpwstr>
  </property>
</Properties>
</file>